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3472B" w14:textId="77777777" w:rsidR="005F61D9" w:rsidRPr="005F61D9" w:rsidRDefault="005F61D9" w:rsidP="005F6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</w:p>
    <w:p w14:paraId="3F9E1530" w14:textId="77777777" w:rsidR="005F61D9" w:rsidRPr="005F61D9" w:rsidRDefault="005F61D9" w:rsidP="005F6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атестаційної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про результати атестації</w:t>
      </w:r>
    </w:p>
    <w:p w14:paraId="2E9FA0BD" w14:textId="77777777" w:rsidR="005F61D9" w:rsidRPr="005F61D9" w:rsidRDefault="00F65905" w:rsidP="005F6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5F61D9"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</w:t>
      </w:r>
      <w:r w:rsid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1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бакалаврського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F61D9"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вищої освіти</w:t>
      </w:r>
    </w:p>
    <w:p w14:paraId="3CE64562" w14:textId="77777777" w:rsidR="005F61D9" w:rsidRPr="005F61D9" w:rsidRDefault="005F61D9" w:rsidP="005F61D9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педагогічному факультеті</w:t>
      </w:r>
    </w:p>
    <w:p w14:paraId="69008875" w14:textId="77777777" w:rsidR="005F61D9" w:rsidRPr="005F61D9" w:rsidRDefault="00F65905" w:rsidP="00662C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очної</w:t>
      </w:r>
      <w:r w:rsidR="00465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заочної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1D9"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навчання</w:t>
      </w:r>
    </w:p>
    <w:p w14:paraId="547FD1C3" w14:textId="77777777" w:rsidR="005F61D9" w:rsidRPr="005F61D9" w:rsidRDefault="005F61D9" w:rsidP="00662C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спеціальност</w:t>
      </w:r>
      <w:r w:rsidR="00831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231 Соціальна робота</w:t>
      </w:r>
    </w:p>
    <w:p w14:paraId="469EF6D6" w14:textId="77777777" w:rsidR="005F61D9" w:rsidRDefault="005F61D9" w:rsidP="00662C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освітньої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робота</w:t>
      </w:r>
    </w:p>
    <w:p w14:paraId="5B705724" w14:textId="77777777" w:rsidR="00831B1D" w:rsidRPr="005F61D9" w:rsidRDefault="00831B1D" w:rsidP="00831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зі 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232 Соціальне забезпечення</w:t>
      </w:r>
    </w:p>
    <w:p w14:paraId="7FCBF364" w14:textId="77777777" w:rsidR="00831B1D" w:rsidRPr="005F61D9" w:rsidRDefault="00831B1D" w:rsidP="00831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освітньої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Соціальне забезпечення</w:t>
      </w:r>
    </w:p>
    <w:p w14:paraId="4E453212" w14:textId="77777777" w:rsidR="00831B1D" w:rsidRPr="005F61D9" w:rsidRDefault="00831B1D" w:rsidP="00662C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7959E0" w14:textId="6B7B72D8" w:rsidR="00DD7E8B" w:rsidRDefault="005F61D9" w:rsidP="00DD7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Атестація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1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(бакалаврського)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вищої освіти на педагогічному факультеті зі спеціальності 231 Соціальна робота за освітньою програмою «Соціальна робота»</w:t>
      </w:r>
      <w:r w:rsidR="00465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4656CC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спеціальності 23</w:t>
      </w:r>
      <w:r w:rsidR="00465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656CC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Соціальне забезпечення</w:t>
      </w:r>
      <w:r w:rsidR="004656CC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освітньою програмою «</w:t>
      </w:r>
      <w:r w:rsidR="00465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Соціальне забезпечення</w:t>
      </w:r>
      <w:r w:rsidR="004656CC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проходил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FC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5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831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5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14:paraId="5F79A1CB" w14:textId="77777777" w:rsidR="00DD7E8B" w:rsidRPr="00DD7E8B" w:rsidRDefault="00DD7E8B" w:rsidP="00DD7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атестаційної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включав:</w:t>
      </w:r>
    </w:p>
    <w:p w14:paraId="5840C428" w14:textId="77777777" w:rsidR="00DD7E8B" w:rsidRPr="00DD7E8B" w:rsidRDefault="00DD7E8B" w:rsidP="00DD7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– </w:t>
      </w:r>
      <w:r w:rsidR="00831B1D" w:rsidRPr="00831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Наріжна Лідія Миколаївна</w:t>
      </w:r>
      <w:r w:rsidR="00FC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1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</w:t>
      </w:r>
      <w:r w:rsidR="00D116F7" w:rsidRPr="00D11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наук, </w:t>
      </w:r>
      <w:r w:rsidR="00831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</w:t>
      </w:r>
      <w:r w:rsidR="002E3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D5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 кафедри іноземних мов.</w:t>
      </w:r>
    </w:p>
    <w:p w14:paraId="47B22373" w14:textId="77777777" w:rsidR="00DD7E8B" w:rsidRPr="00DD7E8B" w:rsidRDefault="00DD7E8B" w:rsidP="00DD7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14:paraId="1806C25B" w14:textId="77777777" w:rsidR="00F65905" w:rsidRDefault="00DD7E8B" w:rsidP="00F659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Коношенко</w:t>
      </w:r>
      <w:proofErr w:type="spellEnd"/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С.В., завідувач кафедри соціальної роботи ДДПУ, доктор педагогічних наук, </w:t>
      </w:r>
      <w:r w:rsidR="007D5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65ACCC9" w14:textId="785201D1" w:rsidR="00F65905" w:rsidRDefault="00F65905" w:rsidP="00F659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5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Брусенко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А.С., доцент кафедри соціальної роботи ДДПУ, кандидат педагогічних наук, секретар АК.</w:t>
      </w:r>
    </w:p>
    <w:p w14:paraId="746F2FE8" w14:textId="77777777" w:rsidR="004656CC" w:rsidRDefault="004656CC" w:rsidP="00F659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Кобзиста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в.о. директора КУ «Територіальний центр соціального обслуговування (надання соціальних послуг) Слов’янської міської ради Донецької області,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стейк</w:t>
      </w:r>
      <w:r w:rsidR="00E14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88DBEE8" w14:textId="77777777" w:rsidR="005906F5" w:rsidRDefault="005906F5" w:rsidP="00F659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E1AC37" w14:textId="089EC850" w:rsidR="00DD7E8B" w:rsidRDefault="005F61D9" w:rsidP="00DD7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Атестація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 освіти зі спеціальності 231 Соціальна робота</w:t>
      </w:r>
      <w:r w:rsidR="00DD7E8B" w:rsidRPr="00DD7E8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очній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заочній 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</w:t>
      </w:r>
      <w:r w:rsidR="007D5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проходила у формі </w:t>
      </w:r>
      <w:r w:rsidR="00A5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атестаційного екзамену</w:t>
      </w:r>
      <w:r w:rsid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D7E8B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7D5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теорії та технологій соціальної роботи</w:t>
      </w:r>
      <w:r w:rsidR="00FC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5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кваліфікаційної роботи</w:t>
      </w:r>
      <w:r w:rsidR="00FC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7E742677" w14:textId="1BF9E0DE" w:rsidR="00A526ED" w:rsidRDefault="007D55BC" w:rsidP="00A52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Атестація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 освіти зі спеціальності 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Соціальне забезпечення</w:t>
      </w:r>
      <w:r w:rsidRPr="00DD7E8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очній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проходила у формі </w:t>
      </w:r>
      <w:proofErr w:type="spellStart"/>
      <w:r w:rsidR="00A526ED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формі</w:t>
      </w:r>
      <w:proofErr w:type="spellEnd"/>
      <w:r w:rsidR="00A526ED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атестаційного екзамену і</w:t>
      </w:r>
      <w:r w:rsidR="00A526ED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A5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теорії та технологій соціального забезпечення та захисту кваліфікаційної роботи. </w:t>
      </w:r>
    </w:p>
    <w:p w14:paraId="50FEF868" w14:textId="48F4A29C" w:rsidR="00DD7E8B" w:rsidRPr="005F61D9" w:rsidRDefault="00DD7E8B" w:rsidP="00DD7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D7E17B" w14:textId="77777777" w:rsidR="00A526ED" w:rsidRDefault="005F61D9" w:rsidP="00F218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="005906F5" w:rsidRP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5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атестаційного</w:t>
      </w:r>
      <w:r w:rsidR="005906F5" w:rsidRP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іспит</w:t>
      </w:r>
      <w:r w:rsidR="00A5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D5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5BC"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спеціальності 231 Соціальна робота</w:t>
      </w:r>
      <w:r w:rsidR="005906F5" w:rsidRP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випусковій кафедрі соціальної роботи </w:t>
      </w:r>
      <w:r w:rsidR="00EC72BD"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розроблені та затверджені в установленому порядку програми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атестації</w:t>
      </w:r>
      <w:r w:rsidR="00EC72BD"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фахових навчальних дисциплін («</w:t>
      </w:r>
      <w:r w:rsidR="007D5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Технології соціальної роботи</w:t>
      </w:r>
      <w:r w:rsidR="00EC72BD"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«Теорія соціальної роботи») екзаменаційні білети, критерії оцінювання відповідей. З метою якісної підготовки до іспиту для випускників було проведено низку консультацій з актуальних питань соціальної роботи.</w:t>
      </w:r>
      <w:r w:rsidR="00F21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3943511" w14:textId="77777777" w:rsidR="00A526ED" w:rsidRDefault="00A526ED" w:rsidP="00F218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кваліфікаційних робіт 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спеціальності 231 Соціальна робота</w:t>
      </w:r>
      <w:r w:rsidRP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 випусковій кафедрі соціальної роботи 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розроблені та затверджені в установленому порядку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 щодо написання кваліфікаційних робіт та затверджена тематика кваліфікаційних робіт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метою якісної підготовки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випускників було проведено низку консультацій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доповідей та презентацій робіт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08C7E1A" w14:textId="2FE6C805" w:rsidR="005906F5" w:rsidRPr="005F61D9" w:rsidRDefault="005906F5" w:rsidP="00F218A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Методичне забезпечення атестації наведено у таблиці 1.</w:t>
      </w:r>
    </w:p>
    <w:p w14:paraId="08CEA0DD" w14:textId="77777777" w:rsidR="005906F5" w:rsidRPr="005F61D9" w:rsidRDefault="005906F5" w:rsidP="005906F5">
      <w:pPr>
        <w:widowControl w:val="0"/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5F61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Таблиця 1</w:t>
      </w:r>
    </w:p>
    <w:p w14:paraId="79FDE399" w14:textId="77777777" w:rsidR="005906F5" w:rsidRPr="005F61D9" w:rsidRDefault="005906F5" w:rsidP="005906F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5F61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Методичне забезпечення атестації </w:t>
      </w:r>
      <w:r w:rsidR="00F65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здобувачів</w:t>
      </w:r>
      <w:r w:rsidRPr="005F61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831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першого (бакалаврського)</w:t>
      </w:r>
      <w:r w:rsidRPr="005F61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рівня вищої освіти</w:t>
      </w:r>
    </w:p>
    <w:tbl>
      <w:tblPr>
        <w:tblW w:w="9883" w:type="dxa"/>
        <w:tblInd w:w="-696" w:type="dxa"/>
        <w:tblLook w:val="0000" w:firstRow="0" w:lastRow="0" w:firstColumn="0" w:lastColumn="0" w:noHBand="0" w:noVBand="0"/>
      </w:tblPr>
      <w:tblGrid>
        <w:gridCol w:w="675"/>
        <w:gridCol w:w="3828"/>
        <w:gridCol w:w="2690"/>
        <w:gridCol w:w="2690"/>
      </w:tblGrid>
      <w:tr w:rsidR="005906F5" w:rsidRPr="005F61D9" w14:paraId="50538D0C" w14:textId="77777777" w:rsidTr="00CB757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114FF5" w14:textId="77777777" w:rsidR="005906F5" w:rsidRPr="005F61D9" w:rsidRDefault="005906F5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5F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3528B8" w14:textId="77777777" w:rsidR="005906F5" w:rsidRPr="005F61D9" w:rsidRDefault="005906F5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5F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Вид атестації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F5F6" w14:textId="77777777" w:rsidR="005906F5" w:rsidRPr="005F61D9" w:rsidRDefault="005906F5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5F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Інформація про наявність («+» або «-«)</w:t>
            </w:r>
          </w:p>
        </w:tc>
      </w:tr>
      <w:tr w:rsidR="005906F5" w:rsidRPr="005F61D9" w14:paraId="7913DFF5" w14:textId="77777777" w:rsidTr="00CB757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56E56B" w14:textId="77777777" w:rsidR="005906F5" w:rsidRPr="005F61D9" w:rsidRDefault="005906F5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AC0E78" w14:textId="77777777" w:rsidR="005906F5" w:rsidRPr="005F61D9" w:rsidRDefault="005906F5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3C7D8" w14:textId="77777777" w:rsidR="005906F5" w:rsidRPr="005F61D9" w:rsidRDefault="005906F5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5F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Методичні розробки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706E" w14:textId="77777777" w:rsidR="005906F5" w:rsidRPr="005F61D9" w:rsidRDefault="005906F5" w:rsidP="00F6590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5F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Програми </w:t>
            </w:r>
            <w:r w:rsidR="00F6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АЕ</w:t>
            </w:r>
          </w:p>
        </w:tc>
      </w:tr>
      <w:tr w:rsidR="005906F5" w:rsidRPr="005F61D9" w14:paraId="5910343D" w14:textId="77777777" w:rsidTr="00CB75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3BC75" w14:textId="77777777" w:rsidR="005906F5" w:rsidRPr="005F61D9" w:rsidRDefault="005906F5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1</w:t>
            </w:r>
            <w:r w:rsidR="00FC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1911E" w14:textId="38C3AC99" w:rsidR="005906F5" w:rsidRPr="005F61D9" w:rsidRDefault="00A526ED" w:rsidP="007D55BC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Атестаційний екзамен</w:t>
            </w:r>
            <w:r w:rsidR="005906F5" w:rsidRPr="007A0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0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 </w:t>
            </w:r>
            <w:r w:rsidR="007D55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теорії та технологій соціальної роботи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92A14" w14:textId="77777777" w:rsidR="005906F5" w:rsidRPr="005F61D9" w:rsidRDefault="005906F5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+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169C" w14:textId="77777777" w:rsidR="005906F5" w:rsidRPr="005F61D9" w:rsidRDefault="005906F5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+</w:t>
            </w:r>
          </w:p>
        </w:tc>
      </w:tr>
      <w:tr w:rsidR="00FC0553" w:rsidRPr="00FC0553" w14:paraId="4825949D" w14:textId="77777777" w:rsidTr="00CB75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0F2A2" w14:textId="77777777" w:rsidR="00FC0553" w:rsidRDefault="00FC0553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90EF6" w14:textId="3AB8AD1C" w:rsidR="00FC0553" w:rsidRPr="007A0150" w:rsidRDefault="00A526ED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кваліфікаційної роботи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FD29A" w14:textId="77777777" w:rsidR="00FC0553" w:rsidRDefault="00FC0553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+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329C" w14:textId="7CA8A24E" w:rsidR="00FC0553" w:rsidRDefault="00A526ED" w:rsidP="00CB757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-</w:t>
            </w:r>
          </w:p>
        </w:tc>
      </w:tr>
    </w:tbl>
    <w:p w14:paraId="64C3344F" w14:textId="77777777" w:rsidR="005906F5" w:rsidRDefault="005906F5" w:rsidP="005F6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DCB2BB" w14:textId="6DA6DDDC" w:rsidR="00A526ED" w:rsidRDefault="00A526ED" w:rsidP="00A526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атестаційного</w:t>
      </w:r>
      <w:r w:rsidRP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іспит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спеціальності 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P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випусковій кафедрі соціальної роботи 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розроблені та затверджені в установленому порядку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атестації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фахових навчальних дисциплін («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Технології соціального забезпечення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«Теорія соціальн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забезпечення»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екзаменаційні білети, критерії оцінювання відповідей. З метою якісної підготовки до іспиту для випускників було проведено низку консультацій з актуальних 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 забезпечення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5C17098" w14:textId="037EBF3D" w:rsidR="00A526ED" w:rsidRDefault="00A526ED" w:rsidP="00A526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кваліфікаційних робіт 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спеціальності 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Pr="0059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випусковій кафедрі соціальної роботи 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розроблені та затверджені в установленому порядку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 щодо написання кваліфікаційних робіт та затверджена тематика кваліфікаційних робіт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метою якісної підготовки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випускників було проведено низку консультацій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доповідей та презентацій робіт</w:t>
      </w:r>
      <w:r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71218C0" w14:textId="1EE9DDE1" w:rsidR="00A526ED" w:rsidRPr="005F61D9" w:rsidRDefault="00A526ED" w:rsidP="00A526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Методичне забезпечення атестації наведено у таблиці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50F163A" w14:textId="77777777" w:rsidR="007D55BC" w:rsidRPr="005F61D9" w:rsidRDefault="007D55BC" w:rsidP="007D55BC">
      <w:pPr>
        <w:widowControl w:val="0"/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5F61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Таблиця </w:t>
      </w:r>
      <w:r w:rsidR="00BE3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</w:t>
      </w:r>
    </w:p>
    <w:p w14:paraId="4ED47DBF" w14:textId="77777777" w:rsidR="007D55BC" w:rsidRPr="005F61D9" w:rsidRDefault="007D55BC" w:rsidP="007D55BC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5F61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Методичне забезпечення атестації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здобувачів</w:t>
      </w:r>
      <w:r w:rsidRPr="005F61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першого (бакалаврського)</w:t>
      </w:r>
      <w:r w:rsidRPr="005F61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рівня вищої освіти</w:t>
      </w:r>
    </w:p>
    <w:tbl>
      <w:tblPr>
        <w:tblW w:w="9883" w:type="dxa"/>
        <w:tblInd w:w="-696" w:type="dxa"/>
        <w:tblLook w:val="0000" w:firstRow="0" w:lastRow="0" w:firstColumn="0" w:lastColumn="0" w:noHBand="0" w:noVBand="0"/>
      </w:tblPr>
      <w:tblGrid>
        <w:gridCol w:w="675"/>
        <w:gridCol w:w="3828"/>
        <w:gridCol w:w="2690"/>
        <w:gridCol w:w="2690"/>
      </w:tblGrid>
      <w:tr w:rsidR="007D55BC" w:rsidRPr="005F61D9" w14:paraId="0CF079F2" w14:textId="77777777" w:rsidTr="00E93C3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E8D796" w14:textId="77777777" w:rsidR="007D55BC" w:rsidRPr="005F61D9" w:rsidRDefault="007D55BC" w:rsidP="00E93C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5F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A36F1C" w14:textId="77777777" w:rsidR="007D55BC" w:rsidRPr="005F61D9" w:rsidRDefault="007D55BC" w:rsidP="00E93C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5F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Вид атестації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41F0" w14:textId="77777777" w:rsidR="007D55BC" w:rsidRPr="005F61D9" w:rsidRDefault="007D55BC" w:rsidP="00E93C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5F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Інформація про наявність («+» або «-«)</w:t>
            </w:r>
          </w:p>
        </w:tc>
      </w:tr>
      <w:tr w:rsidR="007D55BC" w:rsidRPr="005F61D9" w14:paraId="71BC4FE5" w14:textId="77777777" w:rsidTr="00E93C39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82DFA8" w14:textId="77777777" w:rsidR="007D55BC" w:rsidRPr="005F61D9" w:rsidRDefault="007D55BC" w:rsidP="00E93C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CADFFC" w14:textId="77777777" w:rsidR="007D55BC" w:rsidRPr="005F61D9" w:rsidRDefault="007D55BC" w:rsidP="00E93C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FA9F9" w14:textId="77777777" w:rsidR="007D55BC" w:rsidRPr="005F61D9" w:rsidRDefault="007D55BC" w:rsidP="00E93C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5F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Методичні розробки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C28B" w14:textId="77777777" w:rsidR="007D55BC" w:rsidRPr="005F61D9" w:rsidRDefault="007D55BC" w:rsidP="00E93C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5F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Програми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АЕ</w:t>
            </w:r>
          </w:p>
        </w:tc>
      </w:tr>
      <w:tr w:rsidR="007D55BC" w:rsidRPr="005F61D9" w14:paraId="73779ACB" w14:textId="77777777" w:rsidTr="00E93C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1F8B4" w14:textId="77777777" w:rsidR="007D55BC" w:rsidRPr="005F61D9" w:rsidRDefault="007D55BC" w:rsidP="00E93C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EFC9D" w14:textId="5B64EFBA" w:rsidR="007D55BC" w:rsidRPr="005F61D9" w:rsidRDefault="00A526ED" w:rsidP="00BE377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Атестаційний екзамен</w:t>
            </w:r>
            <w:r w:rsidR="007D55BC" w:rsidRPr="007A0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D55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теорії та технологій соціально</w:t>
            </w:r>
            <w:r w:rsidR="00BE3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 забезпечення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DEA1B" w14:textId="77777777" w:rsidR="007D55BC" w:rsidRPr="005F61D9" w:rsidRDefault="007D55BC" w:rsidP="00E93C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+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C3D6" w14:textId="77777777" w:rsidR="007D55BC" w:rsidRPr="005F61D9" w:rsidRDefault="007D55BC" w:rsidP="00E93C3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+</w:t>
            </w:r>
          </w:p>
        </w:tc>
      </w:tr>
      <w:tr w:rsidR="00A526ED" w:rsidRPr="00FC0553" w14:paraId="23960DD5" w14:textId="77777777" w:rsidTr="00E93C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A4479" w14:textId="77777777" w:rsidR="00A526ED" w:rsidRDefault="00A526ED" w:rsidP="00A526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1B0FF" w14:textId="033D23C9" w:rsidR="00A526ED" w:rsidRPr="007A0150" w:rsidRDefault="00A526ED" w:rsidP="00A526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кваліфікаційної роботи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FF4B7" w14:textId="220783EA" w:rsidR="00A526ED" w:rsidRDefault="00A526ED" w:rsidP="00A526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+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CE4C" w14:textId="1495C58E" w:rsidR="00A526ED" w:rsidRDefault="00A526ED" w:rsidP="00A526E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-</w:t>
            </w:r>
          </w:p>
        </w:tc>
      </w:tr>
    </w:tbl>
    <w:p w14:paraId="4E9D5E26" w14:textId="77777777" w:rsidR="007D55BC" w:rsidRDefault="007D55BC" w:rsidP="005F6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31B35F" w14:textId="77777777" w:rsidR="005F61D9" w:rsidRPr="005F61D9" w:rsidRDefault="005F61D9" w:rsidP="005F6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4) Інформаційно-технічне забезпечення атестації.</w:t>
      </w:r>
    </w:p>
    <w:p w14:paraId="3BBAF5A4" w14:textId="77777777" w:rsidR="00905B6E" w:rsidRDefault="00905B6E" w:rsidP="005F6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комплексн</w:t>
      </w:r>
      <w:r w:rsidR="00264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кваліфікаційн</w:t>
      </w:r>
      <w:r w:rsidR="00264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іспит</w:t>
      </w:r>
      <w:r w:rsidR="00264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4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спеціальностей 231 Соціальна робота та 232 Соціальне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дистанційній формі, було створено електронну поштову скриньку </w:t>
      </w:r>
      <w:hyperlink r:id="rId5" w:history="1">
        <w:r w:rsidRPr="000622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dek</w:t>
        </w:r>
        <w:r w:rsidRPr="00905B6E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2.</w:t>
        </w:r>
        <w:r w:rsidRPr="000622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ddpu</w:t>
        </w:r>
        <w:r w:rsidRPr="00905B6E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@</w:t>
        </w:r>
        <w:r w:rsidRPr="000622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905B6E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0622F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905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E6E5BEA" w14:textId="14572114" w:rsidR="005F61D9" w:rsidRDefault="00905B6E" w:rsidP="005F6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</w:t>
      </w:r>
      <w:r w:rsidR="00A5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264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5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</w:t>
      </w:r>
      <w:r w:rsidR="00264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64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B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64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.06.202</w:t>
      </w:r>
      <w:r w:rsidR="000B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05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FC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надіслані на їхні електронні адреси екзаменаційні білети, </w:t>
      </w:r>
      <w:r w:rsidR="00371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були розподілені між студентами за допомогою онлайн генератору випадкових чисел (</w:t>
      </w:r>
      <w:hyperlink r:id="rId6" w:history="1">
        <w:r w:rsidR="00A526ED" w:rsidRPr="00BB6AA5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https://generator-online.com/uk/</w:t>
        </w:r>
      </w:hyperlink>
      <w:r w:rsidR="00371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6A24562E" w14:textId="1FECBE57" w:rsidR="00A526ED" w:rsidRPr="00905B6E" w:rsidRDefault="00A526ED" w:rsidP="00A52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 кваліфікаційних робіт проходив у дистанційній формі на платформі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900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0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день захисту (17.06.2024)</w:t>
      </w:r>
      <w:r w:rsidRPr="00905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9.00 Голова АК, члени АК та здобувачі очної та заочної форми навчання отримали посилання за яким підключилися до зустрічі.</w:t>
      </w:r>
    </w:p>
    <w:p w14:paraId="3AC8D07D" w14:textId="77777777" w:rsidR="005F61D9" w:rsidRPr="005F61D9" w:rsidRDefault="005F61D9" w:rsidP="005F6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F312E4" w14:textId="77777777" w:rsidR="005F61D9" w:rsidRDefault="005F61D9" w:rsidP="005F6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Хід проведення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C28999B" w14:textId="41954117" w:rsidR="00F65905" w:rsidRPr="00EA426E" w:rsidRDefault="00F65905" w:rsidP="00B17E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очній</w:t>
      </w:r>
      <w:r w:rsidR="00371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заочній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формі навчання</w:t>
      </w:r>
      <w:r w:rsidR="00B1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E9A"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спеціальност</w:t>
      </w:r>
      <w:r w:rsidR="00B1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231 Соціальна робота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атестаційний екзамен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8F9" w:rsidRP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теорії та технологій соціальної роботи 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відбувся </w:t>
      </w:r>
      <w:r w:rsidR="00E23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B1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202</w:t>
      </w:r>
      <w:r w:rsidR="005F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Контингент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складання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Наказом про допуск до </w:t>
      </w:r>
      <w:r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атестації № </w:t>
      </w:r>
      <w:r w:rsidR="00CA634D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206 від 10.06.2024 р. </w:t>
      </w:r>
      <w:r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складав </w:t>
      </w:r>
      <w:r w:rsidR="005F6E1F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B17E9A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30BB6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8F56CA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(очна форма навчання)</w:t>
      </w:r>
      <w:r w:rsidR="00D30BB6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№ </w:t>
      </w:r>
      <w:r w:rsidR="00EA426E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</w:t>
      </w:r>
      <w:r w:rsidR="00D30BB6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EA426E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D30BB6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8F9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 w:rsidR="00D30BB6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A426E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30BB6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складав </w:t>
      </w:r>
      <w:r w:rsidR="005F6E1F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30BB6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5F6E1F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238F9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(заочна форма навчання)</w:t>
      </w:r>
      <w:r w:rsidR="00D30BB6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AF6D43C" w14:textId="665D3A80" w:rsidR="005F6E1F" w:rsidRDefault="005F6E1F" w:rsidP="005F6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очній та заочній формі навчання зі спеціальності 231 Соціальна робота захист кваліфікаційних робіт відбувся 17 червня 2024 р. Контингент здобувачів для захисту кваліфікаційних робіт згідно з Наказом про допуск до державної атестації </w:t>
      </w:r>
      <w:r w:rsidR="00CA634D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206 від 10.06.2024 р. </w:t>
      </w:r>
      <w:r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складав </w:t>
      </w:r>
      <w:r w:rsidR="00CA634D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(очна форма навчання); №</w:t>
      </w:r>
      <w:r w:rsidR="00EA426E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</w:t>
      </w:r>
      <w:r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EA426E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202</w:t>
      </w:r>
      <w:r w:rsidR="00EA426E"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A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складав</w:t>
      </w:r>
      <w:r w:rsidRPr="00DF6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634D" w:rsidRPr="00DF6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6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 (заочна форма навчання).</w:t>
      </w:r>
    </w:p>
    <w:p w14:paraId="2A38C77B" w14:textId="77777777" w:rsidR="005F6E1F" w:rsidRDefault="005F6E1F" w:rsidP="005F6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доповідь кожному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здобувачу</w:t>
      </w:r>
      <w:r w:rsidRPr="00642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відводилося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642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хвилин. Зазначений регламент дотримувався. Відповіді студентів оцінювалися згідно з діючими вимогами і критеріями. Враховувались повнота відповіді на поставлене запитання, вільне володіння обсягом матеріалу роботи, глибина знань з відповідної тематики, творчий підхід до поставленого питання, загальна ерудиція студента. Теми кваліфікаційних робіт були актуальними та містили у собі самостійне дослідження виконавця.</w:t>
      </w:r>
    </w:p>
    <w:p w14:paraId="5F4990AC" w14:textId="77777777" w:rsidR="005F6E1F" w:rsidRPr="006E4317" w:rsidRDefault="005F6E1F" w:rsidP="005F6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Випускники продемонстрували досить повні, ґрунтовні знання, вміння та навички, що свідчать про готовність випускників спеціальності 231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Pr="006E4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оціальна робота до подальшої професійної діяльності.</w:t>
      </w:r>
    </w:p>
    <w:p w14:paraId="2FBE342C" w14:textId="77777777" w:rsidR="00FC0553" w:rsidRPr="00C65BAA" w:rsidRDefault="00FC0553" w:rsidP="008F5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E45A9F" w14:textId="7C7EE0BD" w:rsidR="008F56CA" w:rsidRDefault="00AB0291" w:rsidP="008F56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очній формі навчання зі спеціальності 232 Соціальне забезпечен</w:t>
      </w:r>
      <w:r w:rsidR="00480283" w:rsidRP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5F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атестаційний екзамен</w:t>
      </w:r>
      <w:r w:rsidRP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теорії та технологій соціального забезпечення відбувся </w:t>
      </w:r>
      <w:r w:rsidR="008F5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20</w:t>
      </w:r>
      <w:r w:rsidR="005F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Контингент здобувачів для складання АЕ згідно з Наказом про допуск до державної атестації </w:t>
      </w:r>
      <w:r w:rsidR="00CA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A634D" w:rsidRPr="00CA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206 від 10.06.2024 р.</w:t>
      </w:r>
      <w:r w:rsidR="008F56CA" w:rsidRP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складав </w:t>
      </w:r>
      <w:r w:rsidR="005F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F56CA" w:rsidRP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5F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</w:t>
      </w:r>
      <w:r w:rsidR="008F5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(очна форма навчання).</w:t>
      </w:r>
    </w:p>
    <w:p w14:paraId="2EF4A4F0" w14:textId="6220E0D7" w:rsidR="005F6E1F" w:rsidRDefault="005F6E1F" w:rsidP="005F6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кваліфікаційних робіт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очній 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формі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спеціальност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23</w:t>
      </w:r>
      <w:r w:rsidR="00DF6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</w:t>
      </w:r>
      <w:r w:rsidR="00DF6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6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відбувся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червня 2024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Контингент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кваліфікаційних робіт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Наказом про допуск до </w:t>
      </w:r>
      <w:r w:rsidRPr="00114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державної </w:t>
      </w:r>
      <w:r w:rsidRPr="00CA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атестації </w:t>
      </w:r>
      <w:r w:rsidR="00CA634D" w:rsidRPr="00CA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206 від 10.06.2024 р. </w:t>
      </w:r>
      <w:r w:rsidRPr="00CA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складав </w:t>
      </w:r>
      <w:r w:rsidR="00DF6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A6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(очна форма навчання).</w:t>
      </w:r>
    </w:p>
    <w:p w14:paraId="7A684A33" w14:textId="77777777" w:rsidR="005F6E1F" w:rsidRDefault="005F6E1F" w:rsidP="005F6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доповідь кожному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здобувачу</w:t>
      </w:r>
      <w:r w:rsidRPr="00642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відводилося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642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хвилин. Зазначений регламент дотримувався. Відповіді студентів оцінювалися згідно з діючими вимогами і критеріями. Враховувались повнота відповіді на поставлене запитання, вільне володіння обсягом матеріалу роботи, глибина знань з відповідної тематики, творчий підхід до поставленого питання, загальна ерудиція студента. Теми кваліфікаційних робіт були актуальними та містили у собі самостійне дослідження виконавця.</w:t>
      </w:r>
    </w:p>
    <w:p w14:paraId="0DF37D84" w14:textId="434E5E5A" w:rsidR="005F6E1F" w:rsidRPr="006E4317" w:rsidRDefault="005F6E1F" w:rsidP="005F6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Випускники продемонстрували досить повні, ґрунтовні знання, вміння та навички, що свідчать про готовність випускників спеціальності 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Соціальне забезпечення</w:t>
      </w:r>
      <w:r w:rsidRPr="006E4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подальшої професійної діяльності.</w:t>
      </w:r>
    </w:p>
    <w:p w14:paraId="73802F8B" w14:textId="77777777" w:rsidR="00AB0291" w:rsidRDefault="00AB0291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ACCDB3" w14:textId="16D06E97" w:rsidR="005F61D9" w:rsidRDefault="005F61D9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 Кількісні показники результатів складання іспитів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захисту кваліфікаційний робіт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5B5C1C93" w14:textId="6E523423" w:rsidR="00FF50B9" w:rsidRDefault="00DD7E8B" w:rsidP="00DD7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отримані наступні кількісні показники результатів складання 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атестаційних екзаменів</w:t>
      </w:r>
      <w:r w:rsid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7C1175B" w14:textId="50444F9D" w:rsidR="00B1143D" w:rsidRPr="00FF50B9" w:rsidRDefault="00DD7E8B" w:rsidP="00B11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1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очної</w:t>
      </w:r>
      <w:r w:rsid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 навчання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0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231 Соціальна робота </w:t>
      </w:r>
      <w:r w:rsidR="00832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атестаційний екзамен</w:t>
      </w:r>
      <w:r w:rsidR="002C13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C1320" w:rsidRPr="003F0B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теорії та технологій соціальної роботи</w:t>
      </w:r>
      <w:r w:rsidRPr="003F0B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1143D"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2C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B1143D"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0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="00B1143D"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B11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1143D"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Екзамен склада</w:t>
      </w:r>
      <w:r w:rsidR="00480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 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1143D"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1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480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C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C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очна форма навчання, 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C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 заочна форма навчання)</w:t>
      </w:r>
      <w:r w:rsidR="00B1143D"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5A9E3BC" w14:textId="3A05F06E" w:rsidR="002C1320" w:rsidRDefault="002C1320" w:rsidP="00B11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«відмінно» - 1 здобувач (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21928FDF" w14:textId="1140BD2C" w:rsidR="00B1143D" w:rsidRDefault="00B1143D" w:rsidP="00B11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«добре» </w:t>
      </w:r>
      <w:r w:rsidR="00480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80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480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0EA6190F" w14:textId="46104ADD" w:rsidR="00480283" w:rsidRDefault="00480283" w:rsidP="00B11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«задовільно» – </w:t>
      </w:r>
      <w:r w:rsidR="002C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 (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</w:p>
    <w:p w14:paraId="151C0D06" w14:textId="54E6081A" w:rsidR="00B1143D" w:rsidRDefault="00480283" w:rsidP="00B11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1143D"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спішність становить 100%, якість – 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</w:t>
      </w:r>
      <w:r w:rsidR="00B1143D"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</w:t>
      </w:r>
    </w:p>
    <w:p w14:paraId="702C57F9" w14:textId="555C2789" w:rsidR="00480283" w:rsidRPr="003F0BB3" w:rsidRDefault="00B7732B" w:rsidP="004802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захист</w:t>
      </w:r>
      <w:r w:rsidR="00832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кваліфікаційних робіт</w:t>
      </w:r>
      <w:r w:rsidR="00480283" w:rsidRPr="003F0B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80283"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2C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80283"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202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80283"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захищали 7</w:t>
      </w:r>
      <w:r w:rsidR="00832FA2"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(5 осіб очна форма навчання, 2 особи заочна форма навчання)</w:t>
      </w:r>
      <w:r w:rsidR="00832FA2"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037DF85" w14:textId="59C8A543" w:rsidR="002C1320" w:rsidRDefault="002C1320" w:rsidP="002C13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«відмінно» - 1 здобувач (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2A86D918" w14:textId="539CBEBE" w:rsidR="002C1320" w:rsidRDefault="002C1320" w:rsidP="002C13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«добре»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37AA66D1" w14:textId="75516F2D" w:rsidR="00480283" w:rsidRPr="00DD7E8B" w:rsidRDefault="002C1320" w:rsidP="002C13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успішність становить 100%, якість – 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</w:t>
      </w:r>
    </w:p>
    <w:p w14:paraId="1F3722FD" w14:textId="77777777" w:rsidR="00B1143D" w:rsidRDefault="00B1143D" w:rsidP="00DD7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460D31" w14:textId="40D9D47A" w:rsidR="003F0BB3" w:rsidRPr="00FF50B9" w:rsidRDefault="003F0BB3" w:rsidP="003F0B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очної форми навчання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232 Соціальне забезпечення </w:t>
      </w:r>
      <w:r w:rsidR="00832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атестаційний екзамен</w:t>
      </w:r>
      <w:r w:rsidRPr="00D30B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теорії та технологій соціального забезпечення</w:t>
      </w:r>
      <w:r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C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Екзамен склада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774DD01" w14:textId="59568B10" w:rsidR="003F0BB3" w:rsidRDefault="003F0BB3" w:rsidP="003F0B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«добре» </w:t>
      </w:r>
      <w:r w:rsidR="00284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C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</w:t>
      </w:r>
      <w:r w:rsidR="0083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C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794F3EC9" w14:textId="77777777" w:rsidR="003F0BB3" w:rsidRPr="003F0BB3" w:rsidRDefault="003F0BB3" w:rsidP="003F0B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успішність становить 100%, якість – </w:t>
      </w:r>
      <w:r w:rsidR="002C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</w:t>
      </w:r>
    </w:p>
    <w:p w14:paraId="2D887D8A" w14:textId="334E46A3" w:rsidR="00B7732B" w:rsidRDefault="00B7732B" w:rsidP="002C13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захист кваліфікаційних робіт</w:t>
      </w:r>
      <w:r w:rsidRPr="003F0B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0BB3"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захищали 8</w:t>
      </w:r>
      <w:r w:rsidRPr="00FF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здобувачів:</w:t>
      </w:r>
    </w:p>
    <w:p w14:paraId="48CD21DA" w14:textId="4CA09AE1" w:rsidR="00B7732B" w:rsidRDefault="00B7732B" w:rsidP="00B773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«відмінно» - 1 здобувач (13%);</w:t>
      </w:r>
    </w:p>
    <w:p w14:paraId="00988A0E" w14:textId="0425700C" w:rsidR="00B7732B" w:rsidRDefault="00B7732B" w:rsidP="00B773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«добре»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- 7 здобувачів 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</w:t>
      </w:r>
      <w:r w:rsidRPr="00DD7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76F4F71A" w14:textId="77777777" w:rsidR="00B7732B" w:rsidRPr="00DD7E8B" w:rsidRDefault="00B7732B" w:rsidP="00B773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успішність становить 100%, якість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3F0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</w:t>
      </w:r>
    </w:p>
    <w:p w14:paraId="05F757A0" w14:textId="77777777" w:rsidR="00766CEC" w:rsidRDefault="00766CEC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E9503D" w14:textId="77777777" w:rsidR="005F61D9" w:rsidRPr="005F61D9" w:rsidRDefault="005F61D9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Кількісні показники результатів складання іспитів наведені у таблиці </w:t>
      </w:r>
      <w:r w:rsid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1DB8406E" w14:textId="77777777" w:rsidR="005F61D9" w:rsidRPr="005F61D9" w:rsidRDefault="005F61D9" w:rsidP="005F61D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8C70A3" w14:textId="77777777" w:rsidR="005F61D9" w:rsidRPr="005F61D9" w:rsidRDefault="005F61D9" w:rsidP="005F61D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66C9EB4A" w14:textId="77777777" w:rsidR="00766CEC" w:rsidRDefault="00766CEC" w:rsidP="005F6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545A0F" w14:textId="02842D2A" w:rsidR="005F61D9" w:rsidRPr="005F61D9" w:rsidRDefault="005F61D9" w:rsidP="005F6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Кількісні показники результатів складання </w:t>
      </w:r>
      <w:r w:rsidR="00B77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атестації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</w:t>
      </w:r>
      <w:r w:rsidR="007A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77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</w:p>
    <w:p w14:paraId="1E0FEC09" w14:textId="77777777" w:rsidR="005F61D9" w:rsidRPr="005F61D9" w:rsidRDefault="005F61D9" w:rsidP="005F61D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1276"/>
        <w:gridCol w:w="1276"/>
        <w:gridCol w:w="1021"/>
        <w:gridCol w:w="850"/>
        <w:gridCol w:w="992"/>
        <w:gridCol w:w="851"/>
      </w:tblGrid>
      <w:tr w:rsidR="009F688E" w:rsidRPr="009F688E" w14:paraId="54D3B070" w14:textId="77777777" w:rsidTr="009F688E">
        <w:tc>
          <w:tcPr>
            <w:tcW w:w="2126" w:type="dxa"/>
            <w:vMerge w:val="restart"/>
            <w:shd w:val="clear" w:color="auto" w:fill="auto"/>
          </w:tcPr>
          <w:p w14:paraId="63DECF0A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атестації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75B98E31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числа допущених до іспитів</w:t>
            </w:r>
          </w:p>
        </w:tc>
        <w:tc>
          <w:tcPr>
            <w:tcW w:w="3714" w:type="dxa"/>
            <w:gridSpan w:val="4"/>
            <w:shd w:val="clear" w:color="auto" w:fill="auto"/>
          </w:tcPr>
          <w:p w14:paraId="6A90ECA7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Одержали оцінки</w:t>
            </w:r>
          </w:p>
        </w:tc>
      </w:tr>
      <w:tr w:rsidR="009F688E" w:rsidRPr="009F688E" w14:paraId="3220B8E8" w14:textId="77777777" w:rsidTr="009F688E">
        <w:tc>
          <w:tcPr>
            <w:tcW w:w="2126" w:type="dxa"/>
            <w:vMerge/>
            <w:shd w:val="clear" w:color="auto" w:fill="auto"/>
          </w:tcPr>
          <w:p w14:paraId="5824967F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EAE6FDD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з`явилося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5063013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з`явилося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696F2AFB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8D0D678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EC09A07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відмінно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DE1CF9E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AE6A867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DD7669D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B885DCB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982F688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038ABAE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91EF7BE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4132371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D4383B6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незадовільно</w:t>
            </w:r>
          </w:p>
        </w:tc>
      </w:tr>
      <w:tr w:rsidR="009F688E" w:rsidRPr="009F688E" w14:paraId="60F69DE7" w14:textId="77777777" w:rsidTr="009F688E">
        <w:tc>
          <w:tcPr>
            <w:tcW w:w="2126" w:type="dxa"/>
            <w:vMerge/>
            <w:shd w:val="clear" w:color="auto" w:fill="auto"/>
          </w:tcPr>
          <w:p w14:paraId="2C626351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588D565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6F5BA7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поважних обставин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C1F50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поважних обставин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35EA0D77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135A0E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72C465" w14:textId="77777777" w:rsidR="009F688E" w:rsidRPr="009F688E" w:rsidRDefault="009F688E" w:rsidP="009F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E53387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688E" w:rsidRPr="009F688E" w14:paraId="6195F65E" w14:textId="77777777" w:rsidTr="009F688E">
        <w:tc>
          <w:tcPr>
            <w:tcW w:w="9668" w:type="dxa"/>
            <w:gridSpan w:val="8"/>
            <w:shd w:val="clear" w:color="auto" w:fill="auto"/>
          </w:tcPr>
          <w:p w14:paraId="70149B47" w14:textId="77777777" w:rsidR="009F688E" w:rsidRPr="009F688E" w:rsidRDefault="00284184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(бакалаврський)</w:t>
            </w:r>
            <w:r w:rsidR="00B114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рівень вищої освіти</w:t>
            </w:r>
          </w:p>
        </w:tc>
      </w:tr>
      <w:tr w:rsidR="00B1143D" w:rsidRPr="009F688E" w14:paraId="5298372B" w14:textId="77777777" w:rsidTr="009F688E">
        <w:tc>
          <w:tcPr>
            <w:tcW w:w="9668" w:type="dxa"/>
            <w:gridSpan w:val="8"/>
            <w:shd w:val="clear" w:color="auto" w:fill="auto"/>
          </w:tcPr>
          <w:p w14:paraId="51194C7D" w14:textId="77777777" w:rsidR="00B1143D" w:rsidRPr="009F688E" w:rsidRDefault="00284184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231 Соціальна робота</w:t>
            </w:r>
          </w:p>
        </w:tc>
      </w:tr>
      <w:tr w:rsidR="009F688E" w:rsidRPr="009F688E" w14:paraId="7F97E205" w14:textId="77777777" w:rsidTr="00B7732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4BB5" w14:textId="1595D058" w:rsidR="009F688E" w:rsidRPr="009F688E" w:rsidRDefault="00B7732B" w:rsidP="0076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Атестаційний екзамен</w:t>
            </w:r>
            <w:r w:rsidR="00B1143D"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284184" w:rsidRPr="002841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із </w:t>
            </w:r>
            <w:r w:rsidR="00766CEC" w:rsidRPr="002841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теорії та технологій соціальної роботи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7BA1A" w14:textId="5DACE275" w:rsidR="009F688E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  <w:p w14:paraId="297B3304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7660E370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7E02285C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33D3482F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85092B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49BD8525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06A9C412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A17B052" w14:textId="77777777" w:rsidR="009F688E" w:rsidRDefault="00766CEC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  <w:p w14:paraId="49D3E360" w14:textId="3D5AC5EF" w:rsidR="00766CEC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  <w:r w:rsidR="00766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60A329" w14:textId="62EA414D" w:rsidR="009F688E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  <w:p w14:paraId="6A605281" w14:textId="75F78B4B" w:rsidR="009F688E" w:rsidRPr="00766CEC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  <w:r w:rsidR="009F688E" w:rsidRPr="00766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57623" w14:textId="77777777" w:rsidR="009F688E" w:rsidRDefault="00766CEC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  <w:p w14:paraId="5541DEE0" w14:textId="324DBA5B" w:rsidR="00284184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  <w:r w:rsidR="00766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5B102020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14AD42EB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55ECFC4C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9F688E" w:rsidRPr="009F688E" w14:paraId="661078C7" w14:textId="77777777" w:rsidTr="00B7732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E809" w14:textId="3D6F5131" w:rsidR="009F688E" w:rsidRPr="009F688E" w:rsidRDefault="00B7732B" w:rsidP="0076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Захист кваліфікаційної роботи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DDADC" w14:textId="469D1E40" w:rsidR="009F688E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  <w:p w14:paraId="5F520E66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028C3475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57C52333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0E44C4C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3F27E485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8D4A4AF" w14:textId="77777777" w:rsidR="009F688E" w:rsidRDefault="00766CEC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  <w:p w14:paraId="00BE8A0C" w14:textId="1C4D81EC" w:rsidR="00284184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  <w:r w:rsidR="00766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48CB0" w14:textId="1F631738" w:rsidR="009F688E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  <w:p w14:paraId="5F0615B3" w14:textId="4E8A1AE4" w:rsidR="009F688E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="00766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="009F688E" w:rsidRPr="009F6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E4FCB" w14:textId="08BFD733" w:rsidR="00284184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E6B1886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7D98B2CE" w14:textId="77777777" w:rsidR="009F688E" w:rsidRPr="009F688E" w:rsidRDefault="009F688E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9F688E" w:rsidRPr="009F688E" w14:paraId="24C88532" w14:textId="77777777" w:rsidTr="009F688E">
        <w:tc>
          <w:tcPr>
            <w:tcW w:w="9668" w:type="dxa"/>
            <w:gridSpan w:val="8"/>
            <w:shd w:val="clear" w:color="auto" w:fill="auto"/>
          </w:tcPr>
          <w:p w14:paraId="20F65285" w14:textId="77777777" w:rsidR="009F688E" w:rsidRPr="009F688E" w:rsidRDefault="00284184" w:rsidP="009F6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232 Соціальне забезпечення</w:t>
            </w:r>
          </w:p>
        </w:tc>
      </w:tr>
      <w:tr w:rsidR="009F688E" w:rsidRPr="009F688E" w14:paraId="51D154AD" w14:textId="77777777" w:rsidTr="00B7732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9094" w14:textId="7C81561B" w:rsidR="009F688E" w:rsidRPr="009F688E" w:rsidRDefault="00B7732B" w:rsidP="009F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Атестаційний екзамен</w:t>
            </w: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284184" w:rsidRPr="002841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із теорії та технологій соціального забезпечення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02E84" w14:textId="1AADB173" w:rsidR="009F688E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  <w:p w14:paraId="48756D39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986DD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6AE78E72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0942A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40AF39E5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4CCA01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25EE4A9A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41B0BF4D" w14:textId="77777777" w:rsidR="00284184" w:rsidRPr="009F688E" w:rsidRDefault="00766CEC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0C65EC" w14:textId="7D61B98C" w:rsid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  <w:p w14:paraId="68AEBB9D" w14:textId="77777777" w:rsidR="00B1143D" w:rsidRPr="009F688E" w:rsidRDefault="00766CEC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  <w:r w:rsidR="00B1143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280E6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6197A4CF" w14:textId="77777777" w:rsidR="00284184" w:rsidRPr="009F688E" w:rsidRDefault="00766CEC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2693A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019BD1EE" w14:textId="77777777" w:rsidR="009F688E" w:rsidRPr="009F688E" w:rsidRDefault="009F688E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B7732B" w:rsidRPr="009F688E" w14:paraId="46413087" w14:textId="77777777" w:rsidTr="00B7732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5A0C" w14:textId="052375A9" w:rsidR="00B7732B" w:rsidRPr="009F688E" w:rsidRDefault="00B7732B" w:rsidP="00B7732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Захист кваліфікаційної роботи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BB3E0" w14:textId="2790CC57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  <w:p w14:paraId="6AD07E0D" w14:textId="77777777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0A538" w14:textId="77777777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05E8EEB7" w14:textId="77777777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A9B0D" w14:textId="77777777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74E94BCD" w14:textId="77777777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78C45D" w14:textId="77777777" w:rsidR="00B7732B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  <w:p w14:paraId="1CC87A76" w14:textId="30D63ADF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13%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D29558" w14:textId="56DA6C6D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  <w:p w14:paraId="0B64F60B" w14:textId="5142B57B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87</w:t>
            </w:r>
            <w:r w:rsidRPr="009F6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57E27" w14:textId="77777777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74954CFF" w14:textId="77777777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7C0A2" w14:textId="77777777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7F644F3F" w14:textId="77777777" w:rsidR="00B7732B" w:rsidRPr="009F688E" w:rsidRDefault="00B7732B" w:rsidP="00B77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688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</w:tbl>
    <w:p w14:paraId="4DEF82A2" w14:textId="77777777" w:rsidR="005F61D9" w:rsidRPr="005F61D9" w:rsidRDefault="005F61D9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787367A6" w14:textId="77777777" w:rsidR="005F61D9" w:rsidRPr="005F61D9" w:rsidRDefault="005F61D9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7E5C5399" w14:textId="77777777" w:rsidR="005F61D9" w:rsidRPr="005F61D9" w:rsidRDefault="005F61D9" w:rsidP="005F61D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випуску, використання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 освіти наведені у</w:t>
      </w:r>
    </w:p>
    <w:p w14:paraId="36FFFE02" w14:textId="77777777" w:rsidR="005F61D9" w:rsidRPr="005F61D9" w:rsidRDefault="005F61D9" w:rsidP="005F61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</w:t>
      </w:r>
      <w:r w:rsidR="009F0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ях </w:t>
      </w:r>
      <w:r w:rsid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та 5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5C05C16" w14:textId="77777777" w:rsidR="005F61D9" w:rsidRPr="005F61D9" w:rsidRDefault="005F61D9" w:rsidP="005F61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9964CD" w14:textId="77777777" w:rsidR="005F61D9" w:rsidRPr="005F61D9" w:rsidRDefault="005F61D9" w:rsidP="005F61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14:paraId="0ABCD7C7" w14:textId="77777777" w:rsidR="005F61D9" w:rsidRDefault="005F61D9" w:rsidP="005F61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випуску, використання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 освіти </w:t>
      </w:r>
    </w:p>
    <w:p w14:paraId="09AEB5D4" w14:textId="77777777" w:rsidR="005428D4" w:rsidRPr="005F61D9" w:rsidRDefault="005428D4" w:rsidP="005F61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 231 Соціальна робота</w:t>
      </w:r>
    </w:p>
    <w:p w14:paraId="0E8232E7" w14:textId="77777777" w:rsidR="005F61D9" w:rsidRPr="005F61D9" w:rsidRDefault="005F61D9" w:rsidP="005F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28" w:type="dxa"/>
        <w:tblInd w:w="-5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524"/>
        <w:gridCol w:w="1704"/>
      </w:tblGrid>
      <w:tr w:rsidR="005F61D9" w:rsidRPr="005F61D9" w14:paraId="1CA0B6E4" w14:textId="77777777" w:rsidTr="008A0A74">
        <w:trPr>
          <w:trHeight w:val="99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773D4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5153506D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13939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E818" w14:textId="1F6782E3" w:rsidR="005F61D9" w:rsidRPr="005F61D9" w:rsidRDefault="005F61D9" w:rsidP="0054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7A01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773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5F61D9" w:rsidRPr="00E14E91" w14:paraId="6732ED5C" w14:textId="77777777" w:rsidTr="008A0A74">
        <w:trPr>
          <w:trHeight w:val="31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94F7F5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5582" w14:textId="77777777" w:rsidR="005F61D9" w:rsidRPr="005F61D9" w:rsidRDefault="005F61D9" w:rsidP="005F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r w:rsidR="00F659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 (всього)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3E75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F61D9" w:rsidRPr="005F61D9" w14:paraId="0F77C444" w14:textId="77777777" w:rsidTr="008A0A74">
        <w:trPr>
          <w:trHeight w:val="276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27C8E0FA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BA8A4" w14:textId="77777777" w:rsidR="005F61D9" w:rsidRPr="005F61D9" w:rsidRDefault="00FE741D" w:rsidP="005F61D9">
            <w:pPr>
              <w:numPr>
                <w:ilvl w:val="0"/>
                <w:numId w:val="1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spacing w:after="0" w:line="240" w:lineRule="auto"/>
              <w:ind w:left="528" w:hanging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бакалаврів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82E8" w14:textId="4105C3CC" w:rsidR="005F61D9" w:rsidRPr="005F61D9" w:rsidRDefault="00B7732B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5F61D9" w:rsidRPr="005F61D9" w14:paraId="180153BA" w14:textId="77777777" w:rsidTr="008A0A74">
        <w:trPr>
          <w:trHeight w:val="49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0B13136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8331" w14:textId="77777777" w:rsidR="005F61D9" w:rsidRPr="005F61D9" w:rsidRDefault="005F61D9" w:rsidP="005F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r w:rsidR="00F659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освіти, що отримали диплом з відзнакою (всього)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A679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F61D9" w:rsidRPr="005F61D9" w14:paraId="2D7842BD" w14:textId="77777777" w:rsidTr="008A0A74">
        <w:trPr>
          <w:trHeight w:val="162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05F5C7B0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A587F" w14:textId="77777777" w:rsidR="005F61D9" w:rsidRPr="005F61D9" w:rsidRDefault="00FE741D" w:rsidP="005F61D9">
            <w:pPr>
              <w:numPr>
                <w:ilvl w:val="0"/>
                <w:numId w:val="1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spacing w:after="0" w:line="240" w:lineRule="auto"/>
              <w:ind w:left="1429" w:hanging="126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бакалаврів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C465" w14:textId="36FFF9D4" w:rsidR="005F61D9" w:rsidRPr="00B7732B" w:rsidRDefault="00B7732B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F61D9" w:rsidRPr="005F61D9" w14:paraId="7AA71464" w14:textId="77777777" w:rsidTr="008A0A74">
        <w:trPr>
          <w:trHeight w:val="7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A523A6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59316" w14:textId="77777777" w:rsidR="005F61D9" w:rsidRPr="005F61D9" w:rsidRDefault="005F61D9" w:rsidP="005F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Частка </w:t>
            </w:r>
            <w:r w:rsidR="00F659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освіти, які склали іспити на «відмінно» та «добре» (</w:t>
            </w:r>
            <w:r w:rsidRPr="005F6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%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8F88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F61D9" w:rsidRPr="005F61D9" w14:paraId="55537497" w14:textId="77777777" w:rsidTr="008A0A74">
        <w:trPr>
          <w:trHeight w:val="336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76C6452C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8AB23" w14:textId="77777777" w:rsidR="005F61D9" w:rsidRPr="005F61D9" w:rsidRDefault="00FE741D" w:rsidP="005F61D9">
            <w:pPr>
              <w:numPr>
                <w:ilvl w:val="0"/>
                <w:numId w:val="1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spacing w:after="0" w:line="240" w:lineRule="auto"/>
              <w:ind w:left="1429" w:hanging="126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бакалаврів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24D2" w14:textId="37C67F04" w:rsidR="005F61D9" w:rsidRPr="005F61D9" w:rsidRDefault="00B7732B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  <w:r w:rsidR="007A01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5F61D9" w:rsidRPr="005F61D9" w14:paraId="436A1499" w14:textId="77777777" w:rsidTr="008A0A74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C98B2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AEEAE" w14:textId="77777777" w:rsidR="005F61D9" w:rsidRPr="005F61D9" w:rsidRDefault="005F61D9" w:rsidP="005F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Частка </w:t>
            </w:r>
            <w:r w:rsidR="00F659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освіти, що навчались за держзамовленням і отримали місця призначення (</w:t>
            </w:r>
            <w:r w:rsidRPr="005F6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%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7987" w14:textId="77777777" w:rsidR="005F61D9" w:rsidRPr="005F61D9" w:rsidRDefault="007A0150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F61D9" w:rsidRPr="005F61D9" w14:paraId="64F89C0C" w14:textId="77777777" w:rsidTr="008A0A74">
        <w:trPr>
          <w:trHeight w:val="5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50247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54FAE" w14:textId="77777777" w:rsidR="005F61D9" w:rsidRPr="005F61D9" w:rsidRDefault="005F61D9" w:rsidP="0054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Частка </w:t>
            </w:r>
            <w:r w:rsidR="00F659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освіти, рекомендованих до </w:t>
            </w:r>
            <w:r w:rsidR="005428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аспірантури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Pr="005F6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%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CA03" w14:textId="77777777" w:rsidR="005F61D9" w:rsidRPr="005F61D9" w:rsidRDefault="005428D4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F61D9" w:rsidRPr="005F61D9" w14:paraId="3C28E004" w14:textId="77777777" w:rsidTr="008A0A74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752B9" w14:textId="77777777" w:rsidR="005F61D9" w:rsidRPr="005F61D9" w:rsidRDefault="005F61D9" w:rsidP="005F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D5F4B" w14:textId="77777777" w:rsidR="005F61D9" w:rsidRPr="005F61D9" w:rsidRDefault="005F61D9" w:rsidP="005F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Частка </w:t>
            </w:r>
            <w:r w:rsidR="00F659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освіти, на яких навчальний заклад має дані про їх місце роботи і посаду (</w:t>
            </w:r>
            <w:r w:rsidRPr="005F6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%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A327" w14:textId="26CF5711" w:rsidR="005F61D9" w:rsidRPr="005F61D9" w:rsidRDefault="00B7732B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41,5</w:t>
            </w:r>
            <w:r w:rsidR="007A01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</w:tbl>
    <w:p w14:paraId="0726D2EC" w14:textId="77777777" w:rsidR="005F61D9" w:rsidRDefault="005F61D9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765690" w14:textId="77777777" w:rsidR="009F0989" w:rsidRPr="005F61D9" w:rsidRDefault="009F0989" w:rsidP="009F098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14:paraId="11E3C04F" w14:textId="77777777" w:rsidR="009F0989" w:rsidRDefault="009F0989" w:rsidP="009F09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випуску, використання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 освіти </w:t>
      </w:r>
    </w:p>
    <w:p w14:paraId="6955630D" w14:textId="77777777" w:rsidR="009F0989" w:rsidRPr="005F61D9" w:rsidRDefault="009F0989" w:rsidP="009F09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 232 Соціальне забезпечення</w:t>
      </w:r>
    </w:p>
    <w:p w14:paraId="0BC5C716" w14:textId="77777777" w:rsidR="009F0989" w:rsidRPr="005F61D9" w:rsidRDefault="009F0989" w:rsidP="009F0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28" w:type="dxa"/>
        <w:tblInd w:w="-5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524"/>
        <w:gridCol w:w="1704"/>
      </w:tblGrid>
      <w:tr w:rsidR="009F0989" w:rsidRPr="005F61D9" w14:paraId="45B609EB" w14:textId="77777777" w:rsidTr="00656F31">
        <w:trPr>
          <w:trHeight w:val="99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356E8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0CD9D9CD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546F2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719A" w14:textId="2CF551F5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773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9F0989" w:rsidRPr="00E14E91" w14:paraId="1259BC48" w14:textId="77777777" w:rsidTr="00656F31">
        <w:trPr>
          <w:trHeight w:val="31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A76891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3679A" w14:textId="77777777" w:rsidR="009F0989" w:rsidRPr="005F61D9" w:rsidRDefault="009F0989" w:rsidP="006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 (всього)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7290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0989" w:rsidRPr="005F61D9" w14:paraId="604C8245" w14:textId="77777777" w:rsidTr="00656F31">
        <w:trPr>
          <w:trHeight w:val="276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1798D1F4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B2F2B" w14:textId="77777777" w:rsidR="009F0989" w:rsidRPr="005F61D9" w:rsidRDefault="009F0989" w:rsidP="00656F31">
            <w:pPr>
              <w:numPr>
                <w:ilvl w:val="0"/>
                <w:numId w:val="1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spacing w:after="0" w:line="240" w:lineRule="auto"/>
              <w:ind w:left="528" w:hanging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бакалаврів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60F0" w14:textId="2B1E5103" w:rsidR="009F0989" w:rsidRPr="005F61D9" w:rsidRDefault="00B7732B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9F0989" w:rsidRPr="005F61D9" w14:paraId="3E80901B" w14:textId="77777777" w:rsidTr="00656F31">
        <w:trPr>
          <w:trHeight w:val="49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2E7BE9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49A98" w14:textId="77777777" w:rsidR="009F0989" w:rsidRPr="005F61D9" w:rsidRDefault="009F0989" w:rsidP="006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освіти, що отримали диплом з відзнакою (всього)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AA49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0989" w:rsidRPr="005F61D9" w14:paraId="04A9FA43" w14:textId="77777777" w:rsidTr="00656F31">
        <w:trPr>
          <w:trHeight w:val="162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652530A0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75BA4" w14:textId="77777777" w:rsidR="009F0989" w:rsidRPr="005F61D9" w:rsidRDefault="009F0989" w:rsidP="00656F31">
            <w:pPr>
              <w:numPr>
                <w:ilvl w:val="0"/>
                <w:numId w:val="1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spacing w:after="0" w:line="240" w:lineRule="auto"/>
              <w:ind w:left="1429" w:hanging="126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бакалаврів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838A" w14:textId="77777777" w:rsidR="009F0989" w:rsidRPr="005F61D9" w:rsidRDefault="00B828F4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9F0989" w:rsidRPr="005F61D9" w14:paraId="65718C53" w14:textId="77777777" w:rsidTr="00656F31">
        <w:trPr>
          <w:trHeight w:val="7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F28781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504F3" w14:textId="77777777" w:rsidR="009F0989" w:rsidRPr="005F61D9" w:rsidRDefault="009F0989" w:rsidP="006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освіти, які склали іспити на «відмінно» та «добре» (</w:t>
            </w:r>
            <w:r w:rsidRPr="005F6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%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DB1C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0989" w:rsidRPr="005F61D9" w14:paraId="3E2D2CD3" w14:textId="77777777" w:rsidTr="00656F31">
        <w:trPr>
          <w:trHeight w:val="336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50212D1C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C66A9" w14:textId="77777777" w:rsidR="009F0989" w:rsidRPr="005F61D9" w:rsidRDefault="009F0989" w:rsidP="00656F31">
            <w:pPr>
              <w:numPr>
                <w:ilvl w:val="0"/>
                <w:numId w:val="1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spacing w:after="0" w:line="240" w:lineRule="auto"/>
              <w:ind w:left="1429" w:hanging="126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бакалаврів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32EA" w14:textId="77777777" w:rsidR="009F0989" w:rsidRPr="005F61D9" w:rsidRDefault="00B828F4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="009F09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F0989" w:rsidRPr="005F61D9" w14:paraId="327F2924" w14:textId="77777777" w:rsidTr="00656F3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D7131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C5D24" w14:textId="77777777" w:rsidR="009F0989" w:rsidRPr="005F61D9" w:rsidRDefault="009F0989" w:rsidP="006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освіти, що навчались за держзамовленням і отримали місця призначення (</w:t>
            </w:r>
            <w:r w:rsidRPr="005F6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%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D69E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9F0989" w:rsidRPr="005F61D9" w14:paraId="579BE520" w14:textId="77777777" w:rsidTr="00656F31">
        <w:trPr>
          <w:trHeight w:val="5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A1754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D5C5" w14:textId="77777777" w:rsidR="009F0989" w:rsidRPr="005F61D9" w:rsidRDefault="009F0989" w:rsidP="006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освіти, рекомендованих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аспірантури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Pr="005F6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%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C1C1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9F0989" w:rsidRPr="005F61D9" w14:paraId="57A1299A" w14:textId="77777777" w:rsidTr="00656F31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1D891" w14:textId="77777777" w:rsidR="009F0989" w:rsidRPr="005F61D9" w:rsidRDefault="009F0989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DE148" w14:textId="77777777" w:rsidR="009F0989" w:rsidRPr="005F61D9" w:rsidRDefault="009F0989" w:rsidP="0065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вищої освіти, на яких навчальний заклад має дані про їх місце роботи і посаду (</w:t>
            </w:r>
            <w:r w:rsidRPr="005F61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%</w:t>
            </w:r>
            <w:r w:rsidRPr="005F6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603F" w14:textId="313F04A3" w:rsidR="009F0989" w:rsidRPr="005F61D9" w:rsidRDefault="00B7732B" w:rsidP="0065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  <w:r w:rsidR="009F09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</w:tbl>
    <w:p w14:paraId="5CC5D52E" w14:textId="77777777" w:rsidR="009F0989" w:rsidRDefault="009F0989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90368E" w14:textId="77777777" w:rsidR="005F61D9" w:rsidRPr="005F61D9" w:rsidRDefault="005F61D9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Зауваження та пропозиції щодо проведення атестації. </w:t>
      </w:r>
    </w:p>
    <w:p w14:paraId="3389AE31" w14:textId="77777777" w:rsidR="005F61D9" w:rsidRPr="005F61D9" w:rsidRDefault="00B1143D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</w:t>
      </w:r>
      <w:r w:rsidR="005F61D9"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продемонстрували необхідний рівень фахової підготовки. Відповіді на запитання ґрунтовні, змістовні, </w:t>
      </w:r>
      <w:r w:rsidR="00F21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</w:t>
      </w:r>
      <w:r w:rsidR="005F61D9"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наводять приклади з власного </w:t>
      </w:r>
      <w:r w:rsidR="007A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практичного</w:t>
      </w:r>
      <w:r w:rsidR="005F61D9"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досвіду. З метою подальшого вдосконалення професійної підготовки необхідно:</w:t>
      </w:r>
    </w:p>
    <w:p w14:paraId="43EC6804" w14:textId="0A6E890E" w:rsidR="005F61D9" w:rsidRDefault="005F61D9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продовжувати розширювати навчально-методичне забезпечення дисциплін </w:t>
      </w:r>
      <w:r w:rsidR="00C65BAA"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(«</w:t>
      </w:r>
      <w:r w:rsid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Технології соціального забезпечення»</w:t>
      </w:r>
      <w:r w:rsidR="00C65BAA"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«Теорія </w:t>
      </w:r>
      <w:r w:rsid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 забезпечення</w:t>
      </w:r>
      <w:r w:rsidR="00C65BAA"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5BAA"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6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Технології соціальної роботи</w:t>
      </w:r>
      <w:r w:rsidR="00C65BAA" w:rsidRPr="00EC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«Теорія соціальної роботи»</w:t>
      </w:r>
      <w:r w:rsidR="009F6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A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D8C8B3B" w14:textId="69E23A67" w:rsidR="002E19DF" w:rsidRPr="005F61D9" w:rsidRDefault="002E19DF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удосконалити</w:t>
      </w:r>
      <w:r w:rsidRPr="00642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критерії до презентацій, що супроводжують захист кваліфікаційних робіт, привести їх у відповідність до вимог, що висувають до супроводу наукової доповіді (більше схем, засобів інфографіки, мультимедіа у висвітленні практичних результатів).;</w:t>
      </w:r>
    </w:p>
    <w:p w14:paraId="5F5F2F9A" w14:textId="77777777" w:rsidR="005F61D9" w:rsidRDefault="005F61D9" w:rsidP="007A01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розширювати географію публікацій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7A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збірниках </w:t>
      </w:r>
      <w:r w:rsidR="009F6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</w:t>
      </w:r>
      <w:r w:rsidR="007A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66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1B21217" w14:textId="231DD656" w:rsidR="00662CFA" w:rsidRPr="005F61D9" w:rsidRDefault="002E19DF" w:rsidP="007A01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– </w:t>
      </w:r>
      <w:r w:rsidR="0066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сприяти академічній мобільності </w:t>
      </w:r>
      <w:r w:rsidR="00F65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66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</w:t>
      </w:r>
      <w:r w:rsidR="00D30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231 Соціальна робота, 232 Соціальне забезпечення.</w:t>
      </w:r>
    </w:p>
    <w:p w14:paraId="076CF2D2" w14:textId="77777777" w:rsidR="005F61D9" w:rsidRPr="005F61D9" w:rsidRDefault="005F61D9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AC1C6E" w14:textId="77777777" w:rsidR="005F61D9" w:rsidRPr="005F61D9" w:rsidRDefault="005428D4" w:rsidP="005F6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6972C90D" wp14:editId="7397EFFB">
            <wp:simplePos x="0" y="0"/>
            <wp:positionH relativeFrom="column">
              <wp:posOffset>2171700</wp:posOffset>
            </wp:positionH>
            <wp:positionV relativeFrom="paragraph">
              <wp:posOffset>146685</wp:posOffset>
            </wp:positionV>
            <wp:extent cx="1090295" cy="304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BA65D" w14:textId="77777777" w:rsidR="005F61D9" w:rsidRPr="005F61D9" w:rsidRDefault="005428D4" w:rsidP="00FE741D">
      <w:pPr>
        <w:widowControl w:val="0"/>
        <w:suppressAutoHyphens/>
        <w:spacing w:after="0" w:line="6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26DE5E7B" wp14:editId="3BDB568C">
            <wp:simplePos x="0" y="0"/>
            <wp:positionH relativeFrom="column">
              <wp:posOffset>2091690</wp:posOffset>
            </wp:positionH>
            <wp:positionV relativeFrom="paragraph">
              <wp:posOffset>323215</wp:posOffset>
            </wp:positionV>
            <wp:extent cx="646430" cy="5607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Голова ДЕК</w:t>
      </w:r>
      <w:r w:rsidR="00FE74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FE74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Лідія</w:t>
      </w:r>
      <w:r w:rsidR="00B17E9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НАРІЖНА</w:t>
      </w:r>
    </w:p>
    <w:p w14:paraId="51BA281C" w14:textId="0454C272" w:rsidR="005F61D9" w:rsidRPr="005F61D9" w:rsidRDefault="002E19DF" w:rsidP="00D76940">
      <w:pPr>
        <w:suppressAutoHyphens/>
        <w:spacing w:after="0" w:line="6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4514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5392003" wp14:editId="42B44D3B">
            <wp:simplePos x="0" y="0"/>
            <wp:positionH relativeFrom="column">
              <wp:posOffset>2691765</wp:posOffset>
            </wp:positionH>
            <wp:positionV relativeFrom="paragraph">
              <wp:posOffset>353695</wp:posOffset>
            </wp:positionV>
            <wp:extent cx="560070" cy="548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Члени ДЕК</w:t>
      </w:r>
      <w:r w:rsid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Сергій</w:t>
      </w:r>
      <w:r w:rsidR="00F218A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КОНОШЕНКО</w:t>
      </w:r>
    </w:p>
    <w:p w14:paraId="6DA18A58" w14:textId="54F04B1B" w:rsidR="005F61D9" w:rsidRDefault="00CB6A39" w:rsidP="00CB6A39">
      <w:pPr>
        <w:suppressAutoHyphens/>
        <w:spacing w:after="0" w:line="600" w:lineRule="auto"/>
        <w:ind w:left="637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0DCD355" wp14:editId="22A43E05">
            <wp:simplePos x="0" y="0"/>
            <wp:positionH relativeFrom="column">
              <wp:posOffset>2090181</wp:posOffset>
            </wp:positionH>
            <wp:positionV relativeFrom="paragraph">
              <wp:posOffset>477663</wp:posOffset>
            </wp:positionV>
            <wp:extent cx="1283335" cy="407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Аліна</w:t>
      </w:r>
      <w:r w:rsidR="005F61D9" w:rsidRPr="005F61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773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БРУСЕНКО</w:t>
      </w:r>
    </w:p>
    <w:p w14:paraId="69453971" w14:textId="5CBE570E" w:rsidR="00CB6A39" w:rsidRDefault="00CB6A39" w:rsidP="00CB6A39">
      <w:pPr>
        <w:suppressAutoHyphens/>
        <w:spacing w:after="0" w:line="600" w:lineRule="auto"/>
        <w:ind w:left="637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B6A3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Анна КОБЗИСТА</w:t>
      </w:r>
    </w:p>
    <w:p w14:paraId="1FB99E69" w14:textId="7C4C5DDC" w:rsidR="00B828F4" w:rsidRPr="005F61D9" w:rsidRDefault="00B828F4" w:rsidP="00D76940">
      <w:pPr>
        <w:suppressAutoHyphens/>
        <w:spacing w:after="0" w:line="600" w:lineRule="auto"/>
        <w:ind w:left="6371"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EFEED60" w14:textId="207003F6" w:rsidR="005F61D9" w:rsidRPr="005F61D9" w:rsidRDefault="005F61D9" w:rsidP="005F61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4E53D71" w14:textId="4985167D" w:rsidR="005F61D9" w:rsidRDefault="005F61D9" w:rsidP="005F61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="00B8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77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 w:rsidR="00B1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77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sectPr w:rsidR="005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461A"/>
    <w:multiLevelType w:val="singleLevel"/>
    <w:tmpl w:val="54CF461A"/>
    <w:lvl w:ilvl="0">
      <w:start w:val="1"/>
      <w:numFmt w:val="bullet"/>
      <w:lvlText w:val="-"/>
      <w:lvlJc w:val="left"/>
      <w:pPr>
        <w:ind w:left="1069" w:firstLine="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D9"/>
    <w:rsid w:val="00062E70"/>
    <w:rsid w:val="000B2756"/>
    <w:rsid w:val="00114809"/>
    <w:rsid w:val="00244113"/>
    <w:rsid w:val="00264EC0"/>
    <w:rsid w:val="00284184"/>
    <w:rsid w:val="002C1320"/>
    <w:rsid w:val="002E19DF"/>
    <w:rsid w:val="002E3F44"/>
    <w:rsid w:val="0037174B"/>
    <w:rsid w:val="003F0BB3"/>
    <w:rsid w:val="00425A1D"/>
    <w:rsid w:val="004656CC"/>
    <w:rsid w:val="00480283"/>
    <w:rsid w:val="004E52E7"/>
    <w:rsid w:val="005428D4"/>
    <w:rsid w:val="005906F5"/>
    <w:rsid w:val="005F61D9"/>
    <w:rsid w:val="005F6E1F"/>
    <w:rsid w:val="00662CFA"/>
    <w:rsid w:val="00766CEC"/>
    <w:rsid w:val="007A0150"/>
    <w:rsid w:val="007D55BC"/>
    <w:rsid w:val="00831B1D"/>
    <w:rsid w:val="00832FA2"/>
    <w:rsid w:val="008B1E97"/>
    <w:rsid w:val="008F56CA"/>
    <w:rsid w:val="00905B6E"/>
    <w:rsid w:val="00912AD1"/>
    <w:rsid w:val="009867D9"/>
    <w:rsid w:val="009C6174"/>
    <w:rsid w:val="009F0989"/>
    <w:rsid w:val="009F688E"/>
    <w:rsid w:val="00A526ED"/>
    <w:rsid w:val="00AB0291"/>
    <w:rsid w:val="00AE0562"/>
    <w:rsid w:val="00B11226"/>
    <w:rsid w:val="00B1143D"/>
    <w:rsid w:val="00B17E9A"/>
    <w:rsid w:val="00B30112"/>
    <w:rsid w:val="00B7732B"/>
    <w:rsid w:val="00B828F4"/>
    <w:rsid w:val="00BD0CA1"/>
    <w:rsid w:val="00BE3775"/>
    <w:rsid w:val="00C65BAA"/>
    <w:rsid w:val="00CA634D"/>
    <w:rsid w:val="00CB6A39"/>
    <w:rsid w:val="00D116F7"/>
    <w:rsid w:val="00D30BB6"/>
    <w:rsid w:val="00D76940"/>
    <w:rsid w:val="00DD7E8B"/>
    <w:rsid w:val="00DF6C1E"/>
    <w:rsid w:val="00E14E91"/>
    <w:rsid w:val="00E238F9"/>
    <w:rsid w:val="00EA426E"/>
    <w:rsid w:val="00EC72BD"/>
    <w:rsid w:val="00F218A6"/>
    <w:rsid w:val="00F65905"/>
    <w:rsid w:val="00FC0553"/>
    <w:rsid w:val="00FE741D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81E8"/>
  <w15:docId w15:val="{66CBCA4F-912E-4ED2-8EF5-9CAD09A6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B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F4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52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erator-online.com/uk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k2.ddpu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2</cp:revision>
  <cp:lastPrinted>2022-06-24T19:36:00Z</cp:lastPrinted>
  <dcterms:created xsi:type="dcterms:W3CDTF">2024-06-26T19:40:00Z</dcterms:created>
  <dcterms:modified xsi:type="dcterms:W3CDTF">2024-06-26T19:40:00Z</dcterms:modified>
</cp:coreProperties>
</file>